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0E" w:rsidRDefault="007F0F0E" w:rsidP="007F0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F0F0E" w:rsidRDefault="007F0F0E" w:rsidP="007F0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F0F0E" w:rsidRDefault="007F0F0E" w:rsidP="007F0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ОКРУГ-ЮГРЫ </w:t>
      </w:r>
    </w:p>
    <w:p w:rsidR="007F0F0E" w:rsidRDefault="007F0F0E" w:rsidP="007F0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E1" w:rsidRDefault="007F0F0E" w:rsidP="00A21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6A65AD" w:rsidRDefault="006A65AD" w:rsidP="00A216DB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65AD" w:rsidRDefault="006A65AD" w:rsidP="006A65AD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65AD">
        <w:rPr>
          <w:rFonts w:ascii="Times New Roman" w:hAnsi="Times New Roman" w:cs="Times New Roman"/>
          <w:bCs/>
          <w:sz w:val="28"/>
          <w:szCs w:val="28"/>
        </w:rPr>
        <w:t>ПРОТОКОЛ</w:t>
      </w:r>
    </w:p>
    <w:p w:rsidR="00280CBD" w:rsidRDefault="00280CBD" w:rsidP="00280CBD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рабочей группы по актуализации схемы теплоснабжения муниципального образования городской округ Сургут Ханты-Мансийского автономного округа – Югры</w:t>
      </w:r>
    </w:p>
    <w:p w:rsidR="006A65AD" w:rsidRPr="006A65AD" w:rsidRDefault="006A65AD" w:rsidP="006A65AD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4820"/>
        <w:gridCol w:w="2977"/>
      </w:tblGrid>
      <w:tr w:rsidR="00C16275" w:rsidRPr="00E55DC0" w:rsidTr="00C16275">
        <w:trPr>
          <w:trHeight w:val="234"/>
          <w:jc w:val="right"/>
        </w:trPr>
        <w:tc>
          <w:tcPr>
            <w:tcW w:w="2409" w:type="dxa"/>
          </w:tcPr>
          <w:p w:rsidR="00C16275" w:rsidRPr="00C16275" w:rsidRDefault="00C16275" w:rsidP="00C16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275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  <w:p w:rsidR="00C16275" w:rsidRPr="00C16275" w:rsidRDefault="00C16275" w:rsidP="009E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75">
              <w:rPr>
                <w:rFonts w:ascii="Times New Roman" w:hAnsi="Times New Roman" w:cs="Times New Roman"/>
                <w:sz w:val="28"/>
                <w:szCs w:val="28"/>
              </w:rPr>
              <w:t>15.30 часов</w:t>
            </w:r>
          </w:p>
        </w:tc>
        <w:tc>
          <w:tcPr>
            <w:tcW w:w="4820" w:type="dxa"/>
            <w:tcBorders>
              <w:right w:val="nil"/>
            </w:tcBorders>
            <w:vAlign w:val="bottom"/>
          </w:tcPr>
          <w:p w:rsidR="00C16275" w:rsidRPr="00E55DC0" w:rsidRDefault="00C16275" w:rsidP="009E7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16275" w:rsidRPr="00C16275" w:rsidRDefault="00C16275" w:rsidP="00C16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Сургут</w:t>
            </w:r>
          </w:p>
        </w:tc>
      </w:tr>
    </w:tbl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420"/>
        <w:gridCol w:w="5654"/>
        <w:gridCol w:w="420"/>
      </w:tblGrid>
      <w:tr w:rsidR="00280CBD" w:rsidRPr="00436CF7" w:rsidTr="008F4596">
        <w:trPr>
          <w:trHeight w:val="567"/>
        </w:trPr>
        <w:tc>
          <w:tcPr>
            <w:tcW w:w="5000" w:type="pct"/>
            <w:gridSpan w:val="4"/>
            <w:vAlign w:val="center"/>
          </w:tcPr>
          <w:p w:rsidR="00280CBD" w:rsidRPr="00436CF7" w:rsidRDefault="00271078" w:rsidP="00271078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280CBD" w:rsidRPr="00436CF7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280CBD">
              <w:rPr>
                <w:rFonts w:ascii="Times New Roman" w:hAnsi="Times New Roman" w:cs="Times New Roman"/>
                <w:sz w:val="28"/>
                <w:szCs w:val="28"/>
              </w:rPr>
              <w:t>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C114B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="00280C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80CBD" w:rsidRPr="00777221" w:rsidTr="008F4596">
        <w:trPr>
          <w:gridAfter w:val="1"/>
          <w:wAfter w:w="206" w:type="pct"/>
          <w:trHeight w:val="122"/>
        </w:trPr>
        <w:tc>
          <w:tcPr>
            <w:tcW w:w="1818" w:type="pct"/>
          </w:tcPr>
          <w:p w:rsidR="00280CBD" w:rsidRPr="00597D26" w:rsidRDefault="00280CBD" w:rsidP="008F4596">
            <w:pPr>
              <w:ind w:right="-1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Недашковский Александр Андреевич</w:t>
            </w:r>
          </w:p>
        </w:tc>
        <w:tc>
          <w:tcPr>
            <w:tcW w:w="2976" w:type="pct"/>
            <w:gridSpan w:val="2"/>
          </w:tcPr>
          <w:p w:rsidR="00280CBD" w:rsidRPr="00777221" w:rsidRDefault="00280CBD" w:rsidP="00A1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</w:t>
            </w: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>ора департамента городского хозяйства Администрации города</w:t>
            </w:r>
          </w:p>
        </w:tc>
      </w:tr>
      <w:tr w:rsidR="00280CBD" w:rsidRPr="00597D26" w:rsidTr="002B4427">
        <w:trPr>
          <w:trHeight w:val="583"/>
        </w:trPr>
        <w:tc>
          <w:tcPr>
            <w:tcW w:w="2024" w:type="pct"/>
            <w:gridSpan w:val="2"/>
            <w:vAlign w:val="center"/>
          </w:tcPr>
          <w:p w:rsidR="00280CBD" w:rsidRPr="00597D26" w:rsidRDefault="00280CBD" w:rsidP="002B44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0C114B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6" w:type="pct"/>
            <w:gridSpan w:val="2"/>
          </w:tcPr>
          <w:p w:rsidR="00280CBD" w:rsidRPr="00597D26" w:rsidRDefault="00280CBD" w:rsidP="008F459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80CBD" w:rsidTr="008F4596">
        <w:trPr>
          <w:gridAfter w:val="1"/>
          <w:wAfter w:w="206" w:type="pct"/>
          <w:trHeight w:val="122"/>
        </w:trPr>
        <w:tc>
          <w:tcPr>
            <w:tcW w:w="1818" w:type="pct"/>
          </w:tcPr>
          <w:p w:rsidR="00280CBD" w:rsidRPr="00597D26" w:rsidRDefault="00280CBD" w:rsidP="008F4596">
            <w:pPr>
              <w:ind w:right="-1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Тихонова Екатерина Сергеевна</w:t>
            </w:r>
          </w:p>
        </w:tc>
        <w:tc>
          <w:tcPr>
            <w:tcW w:w="2976" w:type="pct"/>
            <w:gridSpan w:val="2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развития инженерной инфраструктуры </w:t>
            </w:r>
          </w:p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и энергосбережения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департамента городского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</w:tbl>
    <w:p w:rsidR="007F0F0E" w:rsidRDefault="007F0F0E" w:rsidP="00280CBD">
      <w:pPr>
        <w:pStyle w:val="a5"/>
        <w:ind w:left="142" w:right="-1"/>
        <w:jc w:val="both"/>
        <w:rPr>
          <w:bCs/>
          <w:szCs w:val="28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683"/>
        <w:gridCol w:w="5387"/>
      </w:tblGrid>
      <w:tr w:rsidR="00280CBD" w:rsidRPr="00436CF7" w:rsidTr="00280CBD">
        <w:trPr>
          <w:trHeight w:val="567"/>
        </w:trPr>
        <w:tc>
          <w:tcPr>
            <w:tcW w:w="10490" w:type="dxa"/>
            <w:gridSpan w:val="3"/>
            <w:vAlign w:val="center"/>
          </w:tcPr>
          <w:p w:rsidR="00280CBD" w:rsidRPr="00A216DB" w:rsidRDefault="00280CBD" w:rsidP="00280CBD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6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Присутствовали: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Прохоров Иван Андреевич</w:t>
            </w:r>
          </w:p>
        </w:tc>
        <w:tc>
          <w:tcPr>
            <w:tcW w:w="5387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</w:t>
            </w: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уководитель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165C97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Найденко Святослав Васильевич</w:t>
            </w:r>
          </w:p>
        </w:tc>
        <w:tc>
          <w:tcPr>
            <w:tcW w:w="5387" w:type="dxa"/>
          </w:tcPr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руководитель отдела </w:t>
            </w:r>
          </w:p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электронного моделирования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173F12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Бочков Алексей Игоревич</w:t>
            </w:r>
          </w:p>
        </w:tc>
        <w:tc>
          <w:tcPr>
            <w:tcW w:w="5387" w:type="dxa"/>
          </w:tcPr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</w:t>
            </w:r>
          </w:p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221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Подольский Руслан Александрович</w:t>
            </w:r>
          </w:p>
        </w:tc>
        <w:tc>
          <w:tcPr>
            <w:tcW w:w="5387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производственного отдела жилищно-коммунального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МКУ «ДДТиЖКК»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Петухова Ирина Ивановна</w:t>
            </w:r>
          </w:p>
        </w:tc>
        <w:tc>
          <w:tcPr>
            <w:tcW w:w="5387" w:type="dxa"/>
          </w:tcPr>
          <w:p w:rsidR="00280CBD" w:rsidRPr="0050034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главный специалист производственного отдела жилищно-коммунального комплекса МКУ «ДДТиЖКК»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165C97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Рахматуллина Эльвира Ахатовна</w:t>
            </w:r>
          </w:p>
        </w:tc>
        <w:tc>
          <w:tcPr>
            <w:tcW w:w="5387" w:type="dxa"/>
          </w:tcPr>
          <w:p w:rsidR="00280CBD" w:rsidRPr="0050034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заместитель директора д</w:t>
            </w:r>
            <w:r w:rsidRPr="005906EE">
              <w:rPr>
                <w:rFonts w:ascii="Times New Roman" w:hAnsi="Times New Roman" w:cs="Times New Roman"/>
                <w:sz w:val="28"/>
                <w:szCs w:val="28"/>
              </w:rPr>
              <w:t>епартамента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906EE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Лапкина Наталья Ивановна</w:t>
            </w:r>
          </w:p>
        </w:tc>
        <w:tc>
          <w:tcPr>
            <w:tcW w:w="5387" w:type="dxa"/>
          </w:tcPr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главный специалист</w:t>
            </w:r>
            <w:r w:rsidRPr="005906EE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комплексного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5906EE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епартамента </w:t>
            </w:r>
            <w:r w:rsidRPr="00590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906EE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Васильева Ирина Анатольевна</w:t>
            </w:r>
          </w:p>
        </w:tc>
        <w:tc>
          <w:tcPr>
            <w:tcW w:w="5387" w:type="dxa"/>
          </w:tcPr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>тдел генерального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5906EE">
              <w:rPr>
                <w:rFonts w:ascii="Times New Roman" w:hAnsi="Times New Roman" w:cs="Times New Roman"/>
                <w:sz w:val="28"/>
                <w:szCs w:val="28"/>
              </w:rPr>
              <w:t>епартамента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56973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73">
              <w:rPr>
                <w:rFonts w:ascii="Times New Roman" w:hAnsi="Times New Roman" w:cs="Times New Roman"/>
                <w:sz w:val="28"/>
                <w:szCs w:val="28"/>
              </w:rPr>
              <w:t>Криницын Роман Аркадьевич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начальник ПТО ф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 xml:space="preserve">илиала </w:t>
            </w:r>
          </w:p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 xml:space="preserve">ПАО «ОГК-2»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5A08">
              <w:rPr>
                <w:rFonts w:ascii="Times New Roman" w:hAnsi="Times New Roman" w:cs="Times New Roman"/>
                <w:sz w:val="28"/>
                <w:szCs w:val="28"/>
              </w:rPr>
              <w:t xml:space="preserve"> Сургутская ГРЭС-1 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Синельников Александр Николаевич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производственно-технической службы филиала </w:t>
            </w:r>
          </w:p>
          <w:p w:rsidR="00280CBD" w:rsidRPr="00B215A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«Сургутская ГРЭС-2» ПАО «Юнипро»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Петров Даниил Дмитриевич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инженер-технолог производственно-технической службы филиала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«Сургутская ГРЭС-2» ПАО «Юнипро»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Фирюлин Николай Васильевич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ведущий инженер по эксплуатации теплотехнического оборудования </w:t>
            </w:r>
          </w:p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Службы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энерговодоснабжения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Сургутский филиал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56973" w:rsidRDefault="00280CBD" w:rsidP="008F4596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973">
              <w:rPr>
                <w:rFonts w:ascii="Times New Roman" w:hAnsi="Times New Roman" w:cs="Times New Roman"/>
                <w:sz w:val="28"/>
                <w:szCs w:val="28"/>
              </w:rPr>
              <w:t>Якимов Илья Владимирович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отдела технической инспекции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УЭЗиС ПАО «Сургутнефтегаз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3C543B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43B">
              <w:rPr>
                <w:rFonts w:ascii="Times New Roman" w:hAnsi="Times New Roman" w:cs="Times New Roman"/>
                <w:sz w:val="28"/>
                <w:szCs w:val="28"/>
              </w:rPr>
              <w:t>Кудёлко</w:t>
            </w:r>
            <w:proofErr w:type="spellEnd"/>
            <w:r w:rsidRPr="003C543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5387" w:type="dxa"/>
          </w:tcPr>
          <w:p w:rsidR="00280CBD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90345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</w:t>
            </w:r>
            <w:proofErr w:type="spellStart"/>
            <w:r w:rsidRPr="0090345C">
              <w:rPr>
                <w:rFonts w:ascii="Times New Roman" w:hAnsi="Times New Roman" w:cs="Times New Roman"/>
                <w:sz w:val="28"/>
                <w:szCs w:val="28"/>
              </w:rPr>
              <w:t>энерговодоснабжения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90345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345C">
              <w:rPr>
                <w:rFonts w:ascii="Times New Roman" w:hAnsi="Times New Roman" w:cs="Times New Roman"/>
                <w:sz w:val="28"/>
                <w:szCs w:val="28"/>
              </w:rPr>
              <w:t xml:space="preserve">по эксплуатации зданий и сооружений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45C">
              <w:rPr>
                <w:rFonts w:ascii="Times New Roman" w:hAnsi="Times New Roman" w:cs="Times New Roman"/>
                <w:sz w:val="28"/>
                <w:szCs w:val="28"/>
              </w:rPr>
              <w:t xml:space="preserve">Газпром </w:t>
            </w:r>
            <w:proofErr w:type="spellStart"/>
            <w:r w:rsidRPr="0090345C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90345C">
              <w:rPr>
                <w:rFonts w:ascii="Times New Roman" w:hAnsi="Times New Roman" w:cs="Times New Roman"/>
                <w:sz w:val="28"/>
                <w:szCs w:val="28"/>
              </w:rPr>
              <w:t xml:space="preserve"> Сургут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89">
              <w:rPr>
                <w:rFonts w:ascii="Times New Roman" w:hAnsi="Times New Roman" w:cs="Times New Roman"/>
                <w:sz w:val="28"/>
                <w:szCs w:val="28"/>
              </w:rPr>
              <w:t>Сурминов Сергей Юрьевич</w:t>
            </w:r>
          </w:p>
        </w:tc>
        <w:tc>
          <w:tcPr>
            <w:tcW w:w="5387" w:type="dxa"/>
          </w:tcPr>
          <w:p w:rsidR="00280CBD" w:rsidRPr="00B215A9" w:rsidRDefault="00280CBD" w:rsidP="002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нерговодоснабжения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 Сургутский филиал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4C2">
              <w:rPr>
                <w:rFonts w:ascii="Times New Roman" w:hAnsi="Times New Roman" w:cs="Times New Roman"/>
                <w:sz w:val="28"/>
                <w:szCs w:val="28"/>
              </w:rPr>
              <w:t>Бородина Элина Борисовна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 I категории ПТО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Сургутский филиал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556973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73">
              <w:rPr>
                <w:rFonts w:ascii="Times New Roman" w:hAnsi="Times New Roman" w:cs="Times New Roman"/>
                <w:sz w:val="28"/>
                <w:szCs w:val="28"/>
              </w:rPr>
              <w:t>Кузнецов Олег Николаевич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инженера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по теплоснабжению ООО «СГЭС»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0C3802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2D3">
              <w:rPr>
                <w:rFonts w:ascii="Times New Roman" w:hAnsi="Times New Roman" w:cs="Times New Roman"/>
                <w:sz w:val="28"/>
                <w:szCs w:val="28"/>
              </w:rPr>
              <w:t>Ласенко</w:t>
            </w:r>
            <w:proofErr w:type="spellEnd"/>
            <w:r w:rsidRPr="00E622D3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Анатольевич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ачальник цеха №7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 «СГЭС»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0C3802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Козлова Ольга Николаевна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начальника ПТС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теплоснабжению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3C543B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43B">
              <w:rPr>
                <w:rFonts w:ascii="Times New Roman" w:hAnsi="Times New Roman" w:cs="Times New Roman"/>
                <w:sz w:val="28"/>
                <w:szCs w:val="28"/>
              </w:rPr>
              <w:t>Бегичев Виталий Васильевич</w:t>
            </w:r>
          </w:p>
        </w:tc>
        <w:tc>
          <w:tcPr>
            <w:tcW w:w="5387" w:type="dxa"/>
          </w:tcPr>
          <w:p w:rsidR="00280CBD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главный инженер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3C543B" w:rsidRDefault="00280CBD" w:rsidP="008F4596">
            <w:pPr>
              <w:pStyle w:val="ac"/>
              <w:spacing w:line="226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3B">
              <w:rPr>
                <w:rFonts w:ascii="Times New Roman" w:hAnsi="Times New Roman" w:cs="Times New Roman"/>
                <w:sz w:val="28"/>
                <w:szCs w:val="28"/>
              </w:rPr>
              <w:t>Ступаков Дмитрий Александрович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главного инженера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энергетическому хозяйству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E622D3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E622D3" w:rsidRDefault="00280CBD" w:rsidP="008F4596">
            <w:pPr>
              <w:pStyle w:val="ac"/>
              <w:spacing w:line="226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2D3">
              <w:rPr>
                <w:rFonts w:ascii="Times New Roman" w:hAnsi="Times New Roman" w:cs="Times New Roman"/>
                <w:sz w:val="28"/>
                <w:szCs w:val="28"/>
              </w:rPr>
              <w:t>Стариков Игорь Алексеевич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главного инженера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сетевому хозяйству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E622D3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E622D3" w:rsidRDefault="00280CBD" w:rsidP="008F4596">
            <w:pPr>
              <w:pStyle w:val="ac"/>
              <w:spacing w:line="226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2D3">
              <w:rPr>
                <w:rFonts w:ascii="Times New Roman" w:hAnsi="Times New Roman" w:cs="Times New Roman"/>
                <w:sz w:val="28"/>
                <w:szCs w:val="28"/>
              </w:rPr>
              <w:t>Старченкова Анна Александровна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9B6">
              <w:rPr>
                <w:rFonts w:ascii="Times New Roman" w:hAnsi="Times New Roman" w:cs="Times New Roman"/>
                <w:sz w:val="28"/>
                <w:szCs w:val="28"/>
              </w:rPr>
              <w:t>начальник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Юрий Александрович 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главный инженер АО «Завод промстройдеталей»</w:t>
            </w:r>
          </w:p>
        </w:tc>
      </w:tr>
      <w:tr w:rsidR="00280CBD" w:rsidRPr="00436CF7" w:rsidTr="00280CBD">
        <w:trPr>
          <w:trHeight w:val="173"/>
        </w:trPr>
        <w:tc>
          <w:tcPr>
            <w:tcW w:w="420" w:type="dxa"/>
          </w:tcPr>
          <w:p w:rsidR="00280CBD" w:rsidRPr="00436CF7" w:rsidRDefault="00280CBD" w:rsidP="00280CBD">
            <w:pPr>
              <w:pStyle w:val="ac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4C2">
              <w:rPr>
                <w:rFonts w:ascii="Times New Roman" w:hAnsi="Times New Roman" w:cs="Times New Roman"/>
                <w:sz w:val="28"/>
                <w:szCs w:val="28"/>
              </w:rPr>
              <w:t>Мительштет</w:t>
            </w:r>
            <w:proofErr w:type="spellEnd"/>
            <w:r w:rsidRPr="00B814C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387" w:type="dxa"/>
          </w:tcPr>
          <w:p w:rsidR="00280CBD" w:rsidRPr="00B215A9" w:rsidRDefault="00280CBD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B814C2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ООО «ТехСтрой» </w:t>
            </w:r>
          </w:p>
        </w:tc>
      </w:tr>
    </w:tbl>
    <w:p w:rsidR="00280CBD" w:rsidRDefault="00280CBD" w:rsidP="00280CBD">
      <w:pPr>
        <w:tabs>
          <w:tab w:val="left" w:pos="9923"/>
        </w:tabs>
        <w:ind w:left="-7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предложений ООО «Невская энергетика» по развитию систем теплоснабжения муниципального образования городской округ Сургут Ханты-Мансийского автономного округа – Югры. Утверждение оптимального варианта </w:t>
      </w: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дальнейшей доработки схемы теплоснабжения по выбранному варианту в рамках заключенного муниципального контракта от 11.04.2025 № 16-ГХ.</w:t>
      </w: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280CBD" w:rsidRPr="00EC6B03" w:rsidRDefault="00280CBD" w:rsidP="00280C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280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B03">
        <w:rPr>
          <w:rFonts w:ascii="Times New Roman" w:hAnsi="Times New Roman" w:cs="Times New Roman"/>
          <w:sz w:val="28"/>
          <w:szCs w:val="28"/>
        </w:rPr>
        <w:t>Недашковского</w:t>
      </w:r>
      <w:proofErr w:type="spellEnd"/>
      <w:r w:rsidRPr="00EC6B03">
        <w:rPr>
          <w:rFonts w:ascii="Times New Roman" w:hAnsi="Times New Roman" w:cs="Times New Roman"/>
          <w:sz w:val="28"/>
          <w:szCs w:val="28"/>
        </w:rPr>
        <w:t> А.А.</w:t>
      </w:r>
      <w:r w:rsidR="00A16F66">
        <w:rPr>
          <w:rFonts w:ascii="Times New Roman" w:hAnsi="Times New Roman" w:cs="Times New Roman"/>
          <w:sz w:val="28"/>
          <w:szCs w:val="28"/>
        </w:rPr>
        <w:t xml:space="preserve"> </w:t>
      </w:r>
      <w:r w:rsidRPr="00EC6B03">
        <w:rPr>
          <w:rFonts w:ascii="Times New Roman" w:hAnsi="Times New Roman" w:cs="Times New Roman"/>
          <w:sz w:val="28"/>
          <w:szCs w:val="28"/>
        </w:rPr>
        <w:t>– открыл заседание рабочей группы, озвучил тему и цель заседания. Передал слово для выступления ООО «Невская энергетика».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Прохорова И.А. –</w:t>
      </w:r>
      <w:r w:rsidR="00A16F66">
        <w:rPr>
          <w:rFonts w:ascii="Times New Roman" w:hAnsi="Times New Roman" w:cs="Times New Roman"/>
          <w:sz w:val="28"/>
          <w:szCs w:val="28"/>
        </w:rPr>
        <w:t xml:space="preserve"> </w:t>
      </w:r>
      <w:r w:rsidRPr="00EC6B03">
        <w:rPr>
          <w:rFonts w:ascii="Times New Roman" w:hAnsi="Times New Roman" w:cs="Times New Roman"/>
          <w:sz w:val="28"/>
          <w:szCs w:val="28"/>
        </w:rPr>
        <w:t>обозначил имеющиеся в городе проблемы, в том числе связанные с дефицитом мощности на станции СГРЭС-2 и котельной К-45. Также сообщил о перспективных приростах нагрузок на период до 2044 года в западной зоне города в размере 134 Гкал/ч и восточной – в размере 172 Гкал/ч.</w:t>
      </w: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Озвучил разработанные ООО «Невская энергетика» сценарные варианты развития системы теплоснабжения города, предусматривающие различные варианты отдельно для каждой зоны города.</w:t>
      </w: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В части западного направления, преимущественно в зонах системы теплоснабжения «СГРЭС-1 – ПКТС» и котельной К-45, рассмотрено четыре сценарных варианта. В рамках концепции определены мероприятия, характерные для каждого из сценариев:</w:t>
      </w: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 xml:space="preserve">— строительство III </w:t>
      </w:r>
      <w:proofErr w:type="spellStart"/>
      <w:r w:rsidRPr="00EC6B03">
        <w:rPr>
          <w:rFonts w:ascii="Times New Roman" w:hAnsi="Times New Roman" w:cs="Times New Roman"/>
          <w:sz w:val="28"/>
          <w:szCs w:val="28"/>
        </w:rPr>
        <w:t>тепловывода</w:t>
      </w:r>
      <w:proofErr w:type="spellEnd"/>
      <w:r w:rsidRPr="00EC6B03">
        <w:rPr>
          <w:rFonts w:ascii="Times New Roman" w:hAnsi="Times New Roman" w:cs="Times New Roman"/>
          <w:sz w:val="28"/>
          <w:szCs w:val="28"/>
        </w:rPr>
        <w:t xml:space="preserve"> от СГРЭС-1, до точки разветвления (существующей тепловой камеры 9ТК-2-7) в районе </w:t>
      </w:r>
      <w:proofErr w:type="spellStart"/>
      <w:r w:rsidRPr="00EC6B0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hAnsi="Times New Roman" w:cs="Times New Roman"/>
          <w:sz w:val="28"/>
          <w:szCs w:val="28"/>
        </w:rPr>
        <w:t xml:space="preserve">. 31В протяженностью 4 067 м и диаметром 2Ду 1000 мм в надземном исполнении (до кольцевой развязки); </w:t>
      </w: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— </w:t>
      </w:r>
      <w:r w:rsidRPr="00EC6B03">
        <w:rPr>
          <w:rFonts w:ascii="Times New Roman" w:eastAsia="Calibri" w:hAnsi="Times New Roman" w:cs="Times New Roman"/>
          <w:sz w:val="28"/>
          <w:szCs w:val="28"/>
        </w:rPr>
        <w:t>строительство новой пиковой водогрейной котельной мощностью 120 Гкал/ч;</w:t>
      </w:r>
    </w:p>
    <w:p w:rsidR="00280CBD" w:rsidRPr="00EC6B03" w:rsidRDefault="00280CBD" w:rsidP="00280CBD">
      <w:pPr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>— строительство ПНС в зоне теплоснабжения новой пиковой котельной;</w:t>
      </w:r>
    </w:p>
    <w:p w:rsidR="00280CBD" w:rsidRPr="00EC6B03" w:rsidRDefault="00280CBD" w:rsidP="00280CBD">
      <w:pPr>
        <w:tabs>
          <w:tab w:val="left" w:pos="993"/>
        </w:tabs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— проведение мероприятий по увеличению пропускной способности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тепло</w:t>
      </w:r>
      <w:r w:rsidRPr="00A16F66">
        <w:rPr>
          <w:rFonts w:ascii="Times New Roman" w:eastAsia="Calibri" w:hAnsi="Times New Roman" w:cs="Times New Roman"/>
          <w:sz w:val="28"/>
          <w:szCs w:val="28"/>
        </w:rPr>
        <w:t>магистрали</w:t>
      </w:r>
      <w:proofErr w:type="spellEnd"/>
      <w:r w:rsidR="007019C9" w:rsidRPr="00A16F66">
        <w:rPr>
          <w:rFonts w:ascii="Times New Roman" w:eastAsia="Calibri" w:hAnsi="Times New Roman" w:cs="Times New Roman"/>
          <w:sz w:val="28"/>
          <w:szCs w:val="28"/>
        </w:rPr>
        <w:t xml:space="preserve"> «СГРЭС-1 – ПКТС» на участке от </w:t>
      </w:r>
      <w:r w:rsidRPr="00A16F66">
        <w:rPr>
          <w:rFonts w:ascii="Times New Roman" w:eastAsia="Calibri" w:hAnsi="Times New Roman" w:cs="Times New Roman"/>
          <w:sz w:val="28"/>
          <w:szCs w:val="28"/>
        </w:rPr>
        <w:t xml:space="preserve">П-3 </w:t>
      </w:r>
      <w:r w:rsidR="007019C9" w:rsidRPr="00A16F66">
        <w:rPr>
          <w:rFonts w:ascii="Times New Roman" w:eastAsia="Calibri" w:hAnsi="Times New Roman" w:cs="Times New Roman"/>
          <w:sz w:val="28"/>
          <w:szCs w:val="28"/>
        </w:rPr>
        <w:t>до</w:t>
      </w:r>
      <w:r w:rsidRPr="00A16F66">
        <w:rPr>
          <w:rFonts w:ascii="Times New Roman" w:eastAsia="Calibri" w:hAnsi="Times New Roman" w:cs="Times New Roman"/>
          <w:sz w:val="28"/>
          <w:szCs w:val="28"/>
        </w:rPr>
        <w:t xml:space="preserve"> ПКТС;</w:t>
      </w:r>
    </w:p>
    <w:p w:rsidR="00280CBD" w:rsidRPr="00EC6B03" w:rsidRDefault="00280CBD" w:rsidP="00280CBD">
      <w:pPr>
        <w:tabs>
          <w:tab w:val="left" w:pos="993"/>
        </w:tabs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— проведение реконструкции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тепломагистрали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 № 1 от ПКТС;</w:t>
      </w:r>
    </w:p>
    <w:p w:rsidR="00280CBD" w:rsidRPr="00EC6B03" w:rsidRDefault="00280CBD" w:rsidP="00280CBD">
      <w:pPr>
        <w:tabs>
          <w:tab w:val="left" w:pos="993"/>
        </w:tabs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>— реконструкция и ввод в эксплуатацию котельной № 4.</w:t>
      </w:r>
    </w:p>
    <w:p w:rsidR="00280CBD" w:rsidRPr="00EC6B03" w:rsidRDefault="00280CBD" w:rsidP="00280C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>Основные различия сценариев по данной концепции заключаются в способах обеспечения тепловой энергией потребителей перспективной застройки.</w:t>
      </w:r>
    </w:p>
    <w:p w:rsidR="00280CBD" w:rsidRPr="00EC6B03" w:rsidRDefault="00280CBD" w:rsidP="00280C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Сценарий 1а является базовым и предусматривает развитие систем теплоснабжения в соответствии с утвержденной схемой теплоснабжения: переключение части зоны ПКТС на СГРЭС-1 с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догревом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 воды на новой пиковой котельной.</w:t>
      </w:r>
    </w:p>
    <w:p w:rsidR="00280CBD" w:rsidRPr="007A26AB" w:rsidRDefault="00280CBD" w:rsidP="00280C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Сценарий 1б предусматривает мероприятия по увеличению давления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>в подающем трубопроводе на магистральном выводе (Коллекторная №1) «ПКТС – Город» с 8,0 кгс/см</w:t>
      </w:r>
      <w:r w:rsidRPr="00EC6B03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 до 9,0 кгс/см</w:t>
      </w:r>
      <w:r w:rsidRPr="00EC6B03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EC6B03">
        <w:rPr>
          <w:rFonts w:ascii="Times New Roman" w:eastAsia="Calibri" w:hAnsi="Times New Roman" w:cs="Times New Roman"/>
          <w:sz w:val="28"/>
          <w:szCs w:val="28"/>
        </w:rPr>
        <w:t>. Реализация данного мероприятия позволит обеспечить подачу теплоносителя требуемых параметров в районы перспективной застройки западного жилого района (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. 35, 35 А, 50) и выполнить переключение части существующей нагрузки (32,37 Гкал/ч) с котельной К-45 для устранения дефицита мощности и возможности подключения перспективных потребителей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>в зоне действия данного источника (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. 38, 39, 44). В рассматриваемом случае также потребуется проведение гидравлической наладки как на ЦТП, так и у потребителей, подключенных к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тепловыводу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 «ПКТС – Город». Также в целях «разгрузки» котельной ПКТС предусматривается переключение части нагрузки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. 3 (ЦТП-1)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>. 5 (ЦТП-5) (14,88 Гкал/ч) на объединённую зону котельных № 1, 2. Суммарная перспективная нагрузка, подключаемая в зоне «СГРЭС-1 – ПКТС – ПВК» в рамках данного сценария составляет 134,1 Гкал/ч.</w:t>
      </w:r>
    </w:p>
    <w:p w:rsidR="00280CBD" w:rsidRPr="00EC6B03" w:rsidRDefault="00280CBD" w:rsidP="00280C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Сценарий 1в предусматривает строительство ПНС на магистральном трубопроводе от ПКТС предварительно в районе пересечения пр. Ленина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>и ул. И. 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Киртбая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подачи теплоносителя в районы перспективной застройки западного жилого района (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. 35, 35А, 50) и переключение части существующей и перспективной нагрузки котельной К-45 (32,37 Гкал/ч). Реализация данного мероприятия позволит выполнить максимальную загрузку источника комбинированной выработки СРГЭС-1 (относительно сценариев 1а, 1б, 1г)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 xml:space="preserve">и возможность обеспечения аварийного режима теплоснабжения в зоне действия котельной К-45 без введения ограничений существующих и переключаемых абонентов; суммарная загрузка «СГРЭС-1 – ПКТС – ПВК» в рамках данного сценария составит 149,05 Гкал/ч. </w:t>
      </w:r>
    </w:p>
    <w:p w:rsidR="00280CBD" w:rsidRPr="00EC6B03" w:rsidRDefault="00280CBD" w:rsidP="00280CB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ab/>
        <w:t xml:space="preserve">Сценарий 1г предусматривает строительство новой котельной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. 50 мощностью 100 Гкал/ч для обеспечения перспективной тепловой нагрузки </w:t>
      </w:r>
      <w:proofErr w:type="spellStart"/>
      <w:r w:rsidRPr="00EC6B03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sz w:val="28"/>
          <w:szCs w:val="28"/>
        </w:rPr>
        <w:t>. 35А, 43, 50. Реализация данного мероприятия позволит выполнить загрузку источника комбинированной выработки СРГЭС-1 дополнительной нагрузкой в размере 117,55 Гкал/ч (в том числе «разгрузить» котельную К-45 за счет переключения существующих потребителей данного источника), а также обеспечить резервирование зон действия котельной К-45, «ГРЭС-1 – ПКТС» от перспективного источника теплоснабжения (повышение надежности).</w:t>
      </w:r>
    </w:p>
    <w:p w:rsidR="00280CBD" w:rsidRPr="00EC6B03" w:rsidRDefault="00280CBD" w:rsidP="00280CB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ab/>
        <w:t>В результате проведенного ООО «Невская энергетика» сравнительного анализа по основным показателям, в частности: капитальные затраты на реализацию сценариев, надежность и возможные риски луч</w:t>
      </w:r>
      <w:r w:rsidR="00A16F66">
        <w:rPr>
          <w:rFonts w:ascii="Times New Roman" w:eastAsia="Calibri" w:hAnsi="Times New Roman" w:cs="Times New Roman"/>
          <w:sz w:val="28"/>
          <w:szCs w:val="28"/>
        </w:rPr>
        <w:t xml:space="preserve">шим вариантом определен вариант </w:t>
      </w:r>
      <w:r w:rsidRPr="00EC6B03">
        <w:rPr>
          <w:rFonts w:ascii="Times New Roman" w:eastAsia="Calibri" w:hAnsi="Times New Roman" w:cs="Times New Roman"/>
          <w:sz w:val="28"/>
          <w:szCs w:val="28"/>
        </w:rPr>
        <w:t>1б, предусматривающий в качестве основного мероприятия увеличение располагаемого напора на выходе из котельной ПКТС.</w:t>
      </w:r>
    </w:p>
    <w:p w:rsidR="00280CBD" w:rsidRPr="00EC6B03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 xml:space="preserve">В части восточного направления в зонах системы теплоснабжения </w:t>
      </w:r>
      <w:r w:rsidRPr="00EC6B03">
        <w:rPr>
          <w:rFonts w:ascii="Times New Roman" w:hAnsi="Times New Roman" w:cs="Times New Roman"/>
          <w:sz w:val="28"/>
          <w:szCs w:val="28"/>
        </w:rPr>
        <w:br/>
        <w:t>«СГРЭС-2 – Промзона» и «СГРЭС-2 – ВЖР» рассмотрено два сценарных варианта развития системы теплоснабжения. Варианты сформированы исходя из балансов тепловой мощности станции СГРЭС-2, в соответствии с которыми на текущий момент резерв тепловой мощности станции СГРЭС-2 по фактической (расчетной) тепловой нагрузке составляет 3,526 Гкал/ч. П</w:t>
      </w: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ри условии реализации мероприятий, </w:t>
      </w:r>
      <w:r w:rsidRPr="00EC6B03">
        <w:rPr>
          <w:rFonts w:ascii="Times New Roman" w:eastAsia="Calibri" w:hAnsi="Times New Roman" w:cs="Times New Roman"/>
          <w:sz w:val="28"/>
          <w:szCs w:val="28"/>
        </w:rPr>
        <w:br/>
        <w:t xml:space="preserve">в том числе по реконструкции обвязки пиковых бойлеров, резерв тепловой мощности станции 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СГРЭС-2, </w:t>
      </w: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возможный к выдаче ограничивается 116 Гкал/час. Таким </w:t>
      </w:r>
      <w:r w:rsidRPr="00EC6B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образом, вся планируемая перспективная нагрузка зоны 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восточного жилого района 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Промзоны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 в размере 172 Гкал/ч </w:t>
      </w:r>
      <w:r w:rsidRPr="00EC6B03">
        <w:rPr>
          <w:rFonts w:ascii="Times New Roman" w:eastAsia="Calibri" w:hAnsi="Times New Roman" w:cs="Times New Roman"/>
          <w:sz w:val="28"/>
          <w:szCs w:val="28"/>
        </w:rPr>
        <w:t xml:space="preserve">действующим источником не может быть обеспечена. </w:t>
      </w:r>
    </w:p>
    <w:p w:rsidR="00280CBD" w:rsidRPr="00EC6B03" w:rsidRDefault="00280CBD" w:rsidP="00280CBD">
      <w:pPr>
        <w:pStyle w:val="ac"/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>В рамках сценария 2а предлагается реализация следующих мероприятий:</w:t>
      </w:r>
    </w:p>
    <w:p w:rsidR="00280CBD" w:rsidRPr="00EC6B03" w:rsidRDefault="00280CBD" w:rsidP="00280CBD">
      <w:pPr>
        <w:pStyle w:val="ac"/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— выполнение комплекса технических мероприятий, обеспечивающих возможность отпуска дополнительной тепловой мощности от станции СГРЭС-2 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для нужд теплоснабжения города Сургута по существующей магистральной тепловой сети 2Ду1020 мм «СГРЭС-2 – ВЖР» в количестве до 116 Гкал/ч. Данное мероприятие позволит обеспечить тепловой энергией часть перспективных потребителей –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. Пойма-4,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. 28, 29, 28А, 28Б. </w:t>
      </w:r>
    </w:p>
    <w:p w:rsidR="00280CBD" w:rsidRPr="00EC6B03" w:rsidRDefault="00280CBD" w:rsidP="00280CBD">
      <w:pPr>
        <w:pStyle w:val="ac"/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— переключение части нагрузки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. 24 (14,54 Гкал/ч) на «СГРЭС-1</w:t>
      </w:r>
      <w:r w:rsidRPr="00EC6B03">
        <w:rPr>
          <w:sz w:val="28"/>
          <w:szCs w:val="28"/>
        </w:rPr>
        <w:t> 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t>– ПВК».</w:t>
      </w:r>
    </w:p>
    <w:p w:rsidR="00280CBD" w:rsidRPr="00EC6B03" w:rsidRDefault="00280CBD" w:rsidP="00280CBD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— строительство локального источника тепловой энергии мощностью 80 Гкал/ч для обеспечения перспективных потребителей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. Марьина гора.</w:t>
      </w:r>
    </w:p>
    <w:p w:rsidR="00280CBD" w:rsidRPr="00EC6B03" w:rsidRDefault="00280CBD" w:rsidP="00280CBD">
      <w:pPr>
        <w:pStyle w:val="ac"/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Альтернативным сценарием обеспечения тепловой энергией перспективных потребителей зоны ВЖР и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Промзоны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 рассмотрен вариант 2б, предусматривающий строительство локальных источников тепловой энергии в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. Марьина гора (мощностью 80 Гкал/ч) и в зоне Пойма-4 (мощностью 140 Гкал/ч), в случае отсутствия реализации технических мероприятий по обеспечению дополнительной тепловой мощности на СГРЭС-2. </w:t>
      </w:r>
    </w:p>
    <w:p w:rsidR="00280CBD" w:rsidRPr="00EC6B03" w:rsidRDefault="00280CBD" w:rsidP="00280CBD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Строительство новых источников на данных территориях обеспечит тепловой энергией не только существующих и перспективных потребителей, но также позволит обеспечить резервирование потребителей в зоне действия «СГРЭС-2 – ВЖР» и «СГРЭС- 2 – Промзона». При этом часть нагрузки </w:t>
      </w:r>
      <w:proofErr w:type="spellStart"/>
      <w:r w:rsidRPr="00EC6B03">
        <w:rPr>
          <w:rFonts w:ascii="Times New Roman" w:eastAsia="Calibri" w:hAnsi="Times New Roman" w:cs="Times New Roman"/>
          <w:bCs/>
          <w:sz w:val="28"/>
          <w:szCs w:val="28"/>
        </w:rPr>
        <w:t>мкр</w:t>
      </w:r>
      <w:proofErr w:type="spellEnd"/>
      <w:r w:rsidRPr="00EC6B03">
        <w:rPr>
          <w:rFonts w:ascii="Times New Roman" w:eastAsia="Calibri" w:hAnsi="Times New Roman" w:cs="Times New Roman"/>
          <w:bCs/>
          <w:sz w:val="28"/>
          <w:szCs w:val="28"/>
        </w:rPr>
        <w:t xml:space="preserve">. 24 (14,54 Гкал/ч) также, как и по сценарию 2а, необходимо будет переключить на обеспечение </w:t>
      </w:r>
      <w:r w:rsidRPr="00EC6B03">
        <w:rPr>
          <w:rFonts w:ascii="Times New Roman" w:eastAsia="Calibri" w:hAnsi="Times New Roman" w:cs="Times New Roman"/>
          <w:bCs/>
          <w:sz w:val="28"/>
          <w:szCs w:val="28"/>
        </w:rPr>
        <w:br/>
        <w:t>от «СГРЭС-1 – ПВК».</w:t>
      </w:r>
    </w:p>
    <w:p w:rsidR="00280CBD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>В результате проведенного ООО «Невская энергетика» сравнительного анализа по основным показателям, в частности: капитальные затраты на реализацию сценариев, надежность и возможные риски лучшим вариантом по зоне станции «СГРЭС-2» определен ва</w:t>
      </w:r>
      <w:r w:rsidR="00A16F66">
        <w:rPr>
          <w:rFonts w:ascii="Times New Roman" w:eastAsia="Calibri" w:hAnsi="Times New Roman" w:cs="Times New Roman"/>
          <w:sz w:val="28"/>
          <w:szCs w:val="28"/>
        </w:rPr>
        <w:t>риант</w:t>
      </w:r>
      <w:r w:rsidRPr="00EC6B03">
        <w:rPr>
          <w:rFonts w:ascii="Times New Roman" w:eastAsia="Calibri" w:hAnsi="Times New Roman" w:cs="Times New Roman"/>
          <w:sz w:val="28"/>
          <w:szCs w:val="28"/>
        </w:rPr>
        <w:t> 2б, предусматривающий в качестве основного мероприятия строительство новых источников тепловой энергии в микрорайонах Марьина гора и Пойма-4 для обеспечения тепловых нагрузок перспективных потребителей.</w:t>
      </w:r>
    </w:p>
    <w:p w:rsidR="00280CBD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14B" w:rsidRDefault="00280CBD" w:rsidP="000C114B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B03">
        <w:rPr>
          <w:rFonts w:ascii="Times New Roman" w:eastAsia="Calibri" w:hAnsi="Times New Roman" w:cs="Times New Roman"/>
          <w:sz w:val="28"/>
          <w:szCs w:val="28"/>
        </w:rPr>
        <w:t>ВЫСУПИЛ:</w:t>
      </w:r>
    </w:p>
    <w:p w:rsidR="000C114B" w:rsidRDefault="000C114B" w:rsidP="000C114B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 xml:space="preserve">Рахматуллина Э.А. – попросила уточнить учтены ли при разработке концепции перспективные нагрузки микрорайонов 27А, 35А, Пойма-4, планируемые </w:t>
      </w:r>
      <w:r w:rsidRPr="00EC6B03">
        <w:rPr>
          <w:rFonts w:ascii="Times New Roman" w:hAnsi="Times New Roman" w:cs="Times New Roman"/>
          <w:sz w:val="28"/>
          <w:szCs w:val="28"/>
        </w:rPr>
        <w:br/>
        <w:t>к реализации в рамках комплексного развития территории.</w:t>
      </w:r>
    </w:p>
    <w:p w:rsidR="00280CBD" w:rsidRPr="00EC6B03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after="0"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Прохоров И.А. – сообщил, что перспективные нагрузки</w:t>
      </w:r>
      <w:r w:rsidR="00FD0E7C">
        <w:rPr>
          <w:rFonts w:ascii="Times New Roman" w:hAnsi="Times New Roman" w:cs="Times New Roman"/>
          <w:sz w:val="28"/>
          <w:szCs w:val="28"/>
        </w:rPr>
        <w:t xml:space="preserve"> будут пересмотрены </w:t>
      </w:r>
      <w:r w:rsidR="00FD0E7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D0E7C">
        <w:rPr>
          <w:rFonts w:ascii="Times New Roman" w:hAnsi="Times New Roman" w:cs="Times New Roman"/>
          <w:sz w:val="28"/>
          <w:szCs w:val="28"/>
        </w:rPr>
        <w:t xml:space="preserve">и при необходимости </w:t>
      </w:r>
      <w:r w:rsidRPr="00EC6B03">
        <w:rPr>
          <w:rFonts w:ascii="Times New Roman" w:hAnsi="Times New Roman" w:cs="Times New Roman"/>
          <w:sz w:val="28"/>
          <w:szCs w:val="28"/>
        </w:rPr>
        <w:t>уточнены.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B03">
        <w:rPr>
          <w:rFonts w:ascii="Times New Roman" w:hAnsi="Times New Roman" w:cs="Times New Roman"/>
          <w:sz w:val="28"/>
          <w:szCs w:val="28"/>
        </w:rPr>
        <w:t>Мительштет</w:t>
      </w:r>
      <w:proofErr w:type="spellEnd"/>
      <w:r w:rsidRPr="00EC6B03">
        <w:rPr>
          <w:rFonts w:ascii="Times New Roman" w:hAnsi="Times New Roman" w:cs="Times New Roman"/>
          <w:sz w:val="28"/>
          <w:szCs w:val="28"/>
        </w:rPr>
        <w:t> Т.В. – попросила пояснить информацию по вопросу перспективы развития системы теплоснабжения ООО «ТехСтрой».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lastRenderedPageBreak/>
        <w:t>Найденко С.В. – сообщил, что в рамках концепции предусмотрено переключение абонентов ООО «ТехСтрой» на зону теплоснабжения «СГРЭС-1 – ПКТС» с переводом котельной в режим ЦТП.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Криницын Р.А. – попросил прокомментировать необходимость перевода нагрузок со станции СГРЭС-1 на перспективную зону котельной №4.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 w:firstLine="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Найденко С.В. – прокомментировал, что переключение нагрузок на котельную № 4 необходимо для разгрузки системы теплоснабжения «СГРЭС-1 – ПКТС» гидравлически. Загрузка котельной предусмотрена как за счет переключения существующих абонентов, так и за счет перспективных.</w:t>
      </w:r>
    </w:p>
    <w:p w:rsidR="00280CBD" w:rsidRPr="00EC6B03" w:rsidRDefault="00280CBD" w:rsidP="00280CBD">
      <w:pPr>
        <w:tabs>
          <w:tab w:val="left" w:pos="9923"/>
        </w:tabs>
        <w:spacing w:line="240" w:lineRule="auto"/>
        <w:ind w:left="450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CBD" w:rsidRPr="00EC6B03" w:rsidRDefault="00280CBD" w:rsidP="00280CBD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 xml:space="preserve">Недашковский А.А. – добавил, что строительство котельной является </w:t>
      </w:r>
      <w:r w:rsidRPr="00EC6B03">
        <w:rPr>
          <w:rFonts w:ascii="Times New Roman" w:hAnsi="Times New Roman" w:cs="Times New Roman"/>
          <w:sz w:val="28"/>
          <w:szCs w:val="28"/>
        </w:rPr>
        <w:br/>
        <w:t>альтернативным вариантом для развития системы теплоснабжения города ввиду невыполнения необходимых мероприятий, предусмотренных схемой теплоснабжения города со стороны ООО «СГЭС».</w:t>
      </w:r>
    </w:p>
    <w:p w:rsidR="00280CBD" w:rsidRPr="00EC6B03" w:rsidRDefault="00280CBD" w:rsidP="00280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A16F66">
      <w:pPr>
        <w:pStyle w:val="ac"/>
        <w:spacing w:after="0" w:line="240" w:lineRule="auto"/>
        <w:ind w:left="450"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280CBD" w:rsidRPr="00EC6B03" w:rsidRDefault="00280CBD" w:rsidP="00280CBD">
      <w:pPr>
        <w:pStyle w:val="ac"/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BD" w:rsidRPr="00EC6B03" w:rsidRDefault="00280CBD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к сведению информацию ООО «Невская энергетика» о возможных вариантах развития системы теплоснабжения города.</w:t>
      </w:r>
    </w:p>
    <w:p w:rsidR="00280CBD" w:rsidRPr="00EC6B03" w:rsidRDefault="00280CBD" w:rsidP="00A16F66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C6B03">
        <w:rPr>
          <w:rFonts w:ascii="Times New Roman" w:hAnsi="Times New Roman" w:cs="Times New Roman"/>
          <w:sz w:val="28"/>
          <w:szCs w:val="28"/>
        </w:rPr>
        <w:t>Принять к сведению информацию филиала «Сургутская ГРЭС-2» ПАО «Юнипро» о поступившей от ООО «СГЭС» 13.04.2026 заявке на подключение (технологическое присоединение) к системе теплоснабжения на суммарную нагрузку в размере 2,5 Гкал/ч.</w:t>
      </w:r>
    </w:p>
    <w:p w:rsidR="00280CBD" w:rsidRPr="00EC6B03" w:rsidRDefault="00280CBD" w:rsidP="00A16F66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B03">
        <w:rPr>
          <w:rFonts w:ascii="Times New Roman" w:hAnsi="Times New Roman" w:cs="Times New Roman"/>
          <w:sz w:val="28"/>
          <w:szCs w:val="28"/>
        </w:rPr>
        <w:t>3. Рекомендовать СГМУП</w:t>
      </w:r>
      <w:r w:rsidR="00A216DB">
        <w:rPr>
          <w:rFonts w:ascii="Times New Roman" w:hAnsi="Times New Roman" w:cs="Times New Roman"/>
          <w:sz w:val="28"/>
          <w:szCs w:val="28"/>
        </w:rPr>
        <w:t> «ГТС», ООО </w:t>
      </w:r>
      <w:r w:rsidRPr="00EC6B03">
        <w:rPr>
          <w:rFonts w:ascii="Times New Roman" w:hAnsi="Times New Roman" w:cs="Times New Roman"/>
          <w:sz w:val="28"/>
          <w:szCs w:val="28"/>
        </w:rPr>
        <w:t xml:space="preserve">«СГЭС» и филиалу «Сургутская </w:t>
      </w:r>
      <w:r w:rsidRPr="00EC6B03">
        <w:rPr>
          <w:rFonts w:ascii="Times New Roman" w:hAnsi="Times New Roman" w:cs="Times New Roman"/>
          <w:sz w:val="28"/>
          <w:szCs w:val="28"/>
        </w:rPr>
        <w:br/>
        <w:t>ГРЭС-2» ПАО «</w:t>
      </w:r>
      <w:proofErr w:type="spellStart"/>
      <w:r w:rsidRPr="00EC6B03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EC6B03">
        <w:rPr>
          <w:rFonts w:ascii="Times New Roman" w:hAnsi="Times New Roman" w:cs="Times New Roman"/>
          <w:sz w:val="28"/>
          <w:szCs w:val="28"/>
        </w:rPr>
        <w:t xml:space="preserve">» </w:t>
      </w:r>
      <w:r w:rsidR="007A26AB">
        <w:rPr>
          <w:rFonts w:ascii="Times New Roman" w:hAnsi="Times New Roman" w:cs="Times New Roman"/>
          <w:sz w:val="28"/>
          <w:szCs w:val="28"/>
        </w:rPr>
        <w:t xml:space="preserve">определить механизм взаимодействия при </w:t>
      </w:r>
      <w:r w:rsidRPr="00EC6B03">
        <w:rPr>
          <w:rFonts w:ascii="Times New Roman" w:hAnsi="Times New Roman" w:cs="Times New Roman"/>
          <w:sz w:val="28"/>
          <w:szCs w:val="28"/>
        </w:rPr>
        <w:t>заключени</w:t>
      </w:r>
      <w:r w:rsidR="007A26AB">
        <w:rPr>
          <w:rFonts w:ascii="Times New Roman" w:hAnsi="Times New Roman" w:cs="Times New Roman"/>
          <w:sz w:val="28"/>
          <w:szCs w:val="28"/>
        </w:rPr>
        <w:t xml:space="preserve">и </w:t>
      </w:r>
      <w:r w:rsidRPr="00EC6B03">
        <w:rPr>
          <w:rFonts w:ascii="Times New Roman" w:hAnsi="Times New Roman" w:cs="Times New Roman"/>
          <w:sz w:val="28"/>
          <w:szCs w:val="28"/>
        </w:rPr>
        <w:t>договор</w:t>
      </w:r>
      <w:r w:rsidR="007A26AB">
        <w:rPr>
          <w:rFonts w:ascii="Times New Roman" w:hAnsi="Times New Roman" w:cs="Times New Roman"/>
          <w:sz w:val="28"/>
          <w:szCs w:val="28"/>
        </w:rPr>
        <w:t>ов о</w:t>
      </w:r>
      <w:r w:rsidRPr="00EC6B03">
        <w:rPr>
          <w:rFonts w:ascii="Times New Roman" w:hAnsi="Times New Roman" w:cs="Times New Roman"/>
          <w:sz w:val="28"/>
          <w:szCs w:val="28"/>
        </w:rPr>
        <w:t xml:space="preserve"> подключени</w:t>
      </w:r>
      <w:r w:rsidR="007A26AB">
        <w:rPr>
          <w:rFonts w:ascii="Times New Roman" w:hAnsi="Times New Roman" w:cs="Times New Roman"/>
          <w:sz w:val="28"/>
          <w:szCs w:val="28"/>
        </w:rPr>
        <w:t>и</w:t>
      </w:r>
      <w:r w:rsidRPr="00EC6B03">
        <w:rPr>
          <w:rFonts w:ascii="Times New Roman" w:hAnsi="Times New Roman" w:cs="Times New Roman"/>
          <w:sz w:val="28"/>
          <w:szCs w:val="28"/>
        </w:rPr>
        <w:t xml:space="preserve"> (технологическо</w:t>
      </w:r>
      <w:r w:rsidR="007A26AB">
        <w:rPr>
          <w:rFonts w:ascii="Times New Roman" w:hAnsi="Times New Roman" w:cs="Times New Roman"/>
          <w:sz w:val="28"/>
          <w:szCs w:val="28"/>
        </w:rPr>
        <w:t>м</w:t>
      </w:r>
      <w:r w:rsidRPr="00EC6B03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7A26AB">
        <w:rPr>
          <w:rFonts w:ascii="Times New Roman" w:hAnsi="Times New Roman" w:cs="Times New Roman"/>
          <w:sz w:val="28"/>
          <w:szCs w:val="28"/>
        </w:rPr>
        <w:t>и</w:t>
      </w:r>
      <w:r w:rsidRPr="00EC6B03">
        <w:rPr>
          <w:rFonts w:ascii="Times New Roman" w:hAnsi="Times New Roman" w:cs="Times New Roman"/>
          <w:sz w:val="28"/>
          <w:szCs w:val="28"/>
        </w:rPr>
        <w:t>)</w:t>
      </w:r>
      <w:r w:rsidR="007A26AB">
        <w:rPr>
          <w:rFonts w:ascii="Times New Roman" w:hAnsi="Times New Roman" w:cs="Times New Roman"/>
          <w:sz w:val="28"/>
          <w:szCs w:val="28"/>
        </w:rPr>
        <w:t xml:space="preserve"> </w:t>
      </w:r>
      <w:r w:rsidRPr="00EC6B03">
        <w:rPr>
          <w:rFonts w:ascii="Times New Roman" w:hAnsi="Times New Roman" w:cs="Times New Roman"/>
          <w:sz w:val="28"/>
          <w:szCs w:val="28"/>
        </w:rPr>
        <w:t>к системе теплоснабжения</w:t>
      </w:r>
      <w:r w:rsidR="007A26AB">
        <w:rPr>
          <w:rFonts w:ascii="Times New Roman" w:hAnsi="Times New Roman" w:cs="Times New Roman"/>
          <w:sz w:val="28"/>
          <w:szCs w:val="28"/>
        </w:rPr>
        <w:t xml:space="preserve"> (либо 1 договор </w:t>
      </w:r>
      <w:r w:rsidRPr="00EC6B03">
        <w:rPr>
          <w:rFonts w:ascii="Times New Roman" w:hAnsi="Times New Roman" w:cs="Times New Roman"/>
          <w:sz w:val="28"/>
          <w:szCs w:val="28"/>
        </w:rPr>
        <w:t>со множественностью лиц</w:t>
      </w:r>
      <w:r w:rsidR="007A26AB">
        <w:rPr>
          <w:rFonts w:ascii="Times New Roman" w:hAnsi="Times New Roman" w:cs="Times New Roman"/>
          <w:sz w:val="28"/>
          <w:szCs w:val="28"/>
        </w:rPr>
        <w:t xml:space="preserve"> на стороне исполнителя с</w:t>
      </w:r>
      <w:r w:rsidR="007A26AB" w:rsidRPr="007A26AB">
        <w:rPr>
          <w:rFonts w:ascii="Times New Roman" w:hAnsi="Times New Roman" w:cs="Times New Roman"/>
          <w:sz w:val="28"/>
          <w:szCs w:val="28"/>
        </w:rPr>
        <w:t xml:space="preserve"> кажд</w:t>
      </w:r>
      <w:r w:rsidR="007A26AB">
        <w:rPr>
          <w:rFonts w:ascii="Times New Roman" w:hAnsi="Times New Roman" w:cs="Times New Roman"/>
          <w:sz w:val="28"/>
          <w:szCs w:val="28"/>
        </w:rPr>
        <w:t>ым</w:t>
      </w:r>
      <w:r w:rsidR="007A26AB" w:rsidRPr="007A26AB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7A26AB">
        <w:rPr>
          <w:rFonts w:ascii="Times New Roman" w:hAnsi="Times New Roman" w:cs="Times New Roman"/>
          <w:sz w:val="28"/>
          <w:szCs w:val="28"/>
        </w:rPr>
        <w:t xml:space="preserve">ем, </w:t>
      </w:r>
      <w:r w:rsidR="007A26AB" w:rsidRPr="007A26AB">
        <w:rPr>
          <w:rFonts w:ascii="Times New Roman" w:hAnsi="Times New Roman" w:cs="Times New Roman"/>
          <w:sz w:val="28"/>
          <w:szCs w:val="28"/>
        </w:rPr>
        <w:t xml:space="preserve">либо 3 </w:t>
      </w:r>
      <w:r w:rsidR="007A26AB">
        <w:rPr>
          <w:rFonts w:ascii="Times New Roman" w:hAnsi="Times New Roman" w:cs="Times New Roman"/>
          <w:sz w:val="28"/>
          <w:szCs w:val="28"/>
        </w:rPr>
        <w:t>до</w:t>
      </w:r>
      <w:r w:rsidR="007A26AB" w:rsidRPr="007A26AB">
        <w:rPr>
          <w:rFonts w:ascii="Times New Roman" w:hAnsi="Times New Roman" w:cs="Times New Roman"/>
          <w:sz w:val="28"/>
          <w:szCs w:val="28"/>
        </w:rPr>
        <w:t>говора</w:t>
      </w:r>
      <w:r w:rsidR="007A26AB">
        <w:rPr>
          <w:rFonts w:ascii="Times New Roman" w:hAnsi="Times New Roman" w:cs="Times New Roman"/>
          <w:sz w:val="28"/>
          <w:szCs w:val="28"/>
        </w:rPr>
        <w:t xml:space="preserve"> (заявитель/</w:t>
      </w:r>
      <w:r w:rsidR="00A216DB">
        <w:rPr>
          <w:rFonts w:ascii="Times New Roman" w:hAnsi="Times New Roman" w:cs="Times New Roman"/>
          <w:sz w:val="28"/>
          <w:szCs w:val="28"/>
        </w:rPr>
        <w:t>СГМУП </w:t>
      </w:r>
      <w:r w:rsidR="007A26AB" w:rsidRPr="007A26AB">
        <w:rPr>
          <w:rFonts w:ascii="Times New Roman" w:hAnsi="Times New Roman" w:cs="Times New Roman"/>
          <w:sz w:val="28"/>
          <w:szCs w:val="28"/>
        </w:rPr>
        <w:t xml:space="preserve">«ГТС», </w:t>
      </w:r>
      <w:r w:rsidR="00A216DB">
        <w:rPr>
          <w:rFonts w:ascii="Times New Roman" w:hAnsi="Times New Roman" w:cs="Times New Roman"/>
          <w:sz w:val="28"/>
          <w:szCs w:val="28"/>
        </w:rPr>
        <w:br/>
      </w:r>
      <w:r w:rsidR="007A26AB" w:rsidRPr="007A26AB">
        <w:rPr>
          <w:rFonts w:ascii="Times New Roman" w:hAnsi="Times New Roman" w:cs="Times New Roman"/>
          <w:sz w:val="28"/>
          <w:szCs w:val="28"/>
        </w:rPr>
        <w:t>СГМУП</w:t>
      </w:r>
      <w:r w:rsidR="00A216DB">
        <w:rPr>
          <w:rFonts w:ascii="Times New Roman" w:hAnsi="Times New Roman" w:cs="Times New Roman"/>
          <w:sz w:val="28"/>
          <w:szCs w:val="28"/>
        </w:rPr>
        <w:t> </w:t>
      </w:r>
      <w:r w:rsidR="007A26AB" w:rsidRPr="007A26AB">
        <w:rPr>
          <w:rFonts w:ascii="Times New Roman" w:hAnsi="Times New Roman" w:cs="Times New Roman"/>
          <w:sz w:val="28"/>
          <w:szCs w:val="28"/>
        </w:rPr>
        <w:t>«ГТС»</w:t>
      </w:r>
      <w:r w:rsidR="007A26AB">
        <w:rPr>
          <w:rFonts w:ascii="Times New Roman" w:hAnsi="Times New Roman" w:cs="Times New Roman"/>
          <w:sz w:val="28"/>
          <w:szCs w:val="28"/>
        </w:rPr>
        <w:t>/</w:t>
      </w:r>
      <w:r w:rsidR="00A216DB">
        <w:rPr>
          <w:rFonts w:ascii="Times New Roman" w:hAnsi="Times New Roman" w:cs="Times New Roman"/>
          <w:sz w:val="28"/>
          <w:szCs w:val="28"/>
        </w:rPr>
        <w:t>ООО </w:t>
      </w:r>
      <w:r w:rsidR="007A26AB" w:rsidRPr="007A26AB">
        <w:rPr>
          <w:rFonts w:ascii="Times New Roman" w:hAnsi="Times New Roman" w:cs="Times New Roman"/>
          <w:sz w:val="28"/>
          <w:szCs w:val="28"/>
        </w:rPr>
        <w:t>«СГЭС»</w:t>
      </w:r>
      <w:r w:rsidR="007A26AB">
        <w:rPr>
          <w:rFonts w:ascii="Times New Roman" w:hAnsi="Times New Roman" w:cs="Times New Roman"/>
          <w:sz w:val="28"/>
          <w:szCs w:val="28"/>
        </w:rPr>
        <w:t>,</w:t>
      </w:r>
      <w:r w:rsidR="00A216DB">
        <w:rPr>
          <w:rFonts w:ascii="Times New Roman" w:hAnsi="Times New Roman" w:cs="Times New Roman"/>
          <w:sz w:val="28"/>
          <w:szCs w:val="28"/>
        </w:rPr>
        <w:t xml:space="preserve"> ООО </w:t>
      </w:r>
      <w:r w:rsidR="007A26AB" w:rsidRPr="007A26AB">
        <w:rPr>
          <w:rFonts w:ascii="Times New Roman" w:hAnsi="Times New Roman" w:cs="Times New Roman"/>
          <w:sz w:val="28"/>
          <w:szCs w:val="28"/>
        </w:rPr>
        <w:t>«СГЭС»</w:t>
      </w:r>
      <w:r w:rsidR="007A26AB">
        <w:rPr>
          <w:rFonts w:ascii="Times New Roman" w:hAnsi="Times New Roman" w:cs="Times New Roman"/>
          <w:sz w:val="28"/>
          <w:szCs w:val="28"/>
        </w:rPr>
        <w:t>/</w:t>
      </w:r>
      <w:r w:rsidR="007A26AB" w:rsidRPr="007A26AB">
        <w:rPr>
          <w:rFonts w:ascii="Times New Roman" w:hAnsi="Times New Roman" w:cs="Times New Roman"/>
          <w:sz w:val="28"/>
          <w:szCs w:val="28"/>
        </w:rPr>
        <w:t>филиал</w:t>
      </w:r>
      <w:r w:rsidR="007A26AB">
        <w:rPr>
          <w:rFonts w:ascii="Times New Roman" w:hAnsi="Times New Roman" w:cs="Times New Roman"/>
          <w:sz w:val="28"/>
          <w:szCs w:val="28"/>
        </w:rPr>
        <w:t xml:space="preserve"> </w:t>
      </w:r>
      <w:r w:rsidR="007A26AB" w:rsidRPr="007A26AB">
        <w:rPr>
          <w:rFonts w:ascii="Times New Roman" w:hAnsi="Times New Roman" w:cs="Times New Roman"/>
          <w:sz w:val="28"/>
          <w:szCs w:val="28"/>
        </w:rPr>
        <w:t>«СГРЭС-2» ПАО «</w:t>
      </w:r>
      <w:proofErr w:type="spellStart"/>
      <w:r w:rsidR="007A26AB" w:rsidRPr="007A26AB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7A26AB" w:rsidRPr="007A26AB">
        <w:rPr>
          <w:rFonts w:ascii="Times New Roman" w:hAnsi="Times New Roman" w:cs="Times New Roman"/>
          <w:sz w:val="28"/>
          <w:szCs w:val="28"/>
        </w:rPr>
        <w:t>»</w:t>
      </w:r>
      <w:r w:rsidR="007A26AB">
        <w:rPr>
          <w:rFonts w:ascii="Times New Roman" w:hAnsi="Times New Roman" w:cs="Times New Roman"/>
          <w:sz w:val="28"/>
          <w:szCs w:val="28"/>
        </w:rPr>
        <w:t xml:space="preserve">) в отношении каждого заявителя </w:t>
      </w:r>
      <w:r w:rsidRPr="00EC6B03">
        <w:rPr>
          <w:rFonts w:ascii="Times New Roman" w:hAnsi="Times New Roman" w:cs="Times New Roman"/>
          <w:sz w:val="28"/>
          <w:szCs w:val="28"/>
        </w:rPr>
        <w:t>в</w:t>
      </w:r>
      <w:r w:rsidR="007A26AB">
        <w:rPr>
          <w:rFonts w:ascii="Times New Roman" w:hAnsi="Times New Roman" w:cs="Times New Roman"/>
          <w:sz w:val="28"/>
          <w:szCs w:val="28"/>
        </w:rPr>
        <w:t xml:space="preserve"> </w:t>
      </w:r>
      <w:r w:rsidRPr="00EC6B03">
        <w:rPr>
          <w:rFonts w:ascii="Times New Roman" w:hAnsi="Times New Roman" w:cs="Times New Roman"/>
          <w:sz w:val="28"/>
          <w:szCs w:val="28"/>
        </w:rPr>
        <w:t>соответствии с Правилами подключения (технологического присоединения)</w:t>
      </w:r>
      <w:r w:rsidR="007A26AB">
        <w:rPr>
          <w:rFonts w:ascii="Times New Roman" w:hAnsi="Times New Roman" w:cs="Times New Roman"/>
          <w:sz w:val="28"/>
          <w:szCs w:val="28"/>
        </w:rPr>
        <w:t xml:space="preserve"> </w:t>
      </w:r>
      <w:r w:rsidRPr="00EC6B03">
        <w:rPr>
          <w:rFonts w:ascii="Times New Roman" w:hAnsi="Times New Roman" w:cs="Times New Roman"/>
          <w:sz w:val="28"/>
          <w:szCs w:val="28"/>
        </w:rPr>
        <w:t>к системам теплоснабжения, утвержденными постановлением Правительства РФ от 30.11.2021 № 2115</w:t>
      </w:r>
      <w:r w:rsidR="007A26AB">
        <w:rPr>
          <w:rFonts w:ascii="Times New Roman" w:hAnsi="Times New Roman" w:cs="Times New Roman"/>
          <w:sz w:val="28"/>
          <w:szCs w:val="28"/>
        </w:rPr>
        <w:t>)</w:t>
      </w:r>
      <w:r w:rsidRPr="00EC6B03">
        <w:rPr>
          <w:rFonts w:ascii="Times New Roman" w:hAnsi="Times New Roman" w:cs="Times New Roman"/>
          <w:sz w:val="28"/>
          <w:szCs w:val="28"/>
        </w:rPr>
        <w:t>.</w:t>
      </w:r>
    </w:p>
    <w:p w:rsidR="00280CBD" w:rsidRPr="00AF0626" w:rsidRDefault="00280CBD" w:rsidP="0028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04.05.2026</w:t>
      </w:r>
      <w:r w:rsidR="00AF0626"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6AB" w:rsidRPr="00AF0626" w:rsidRDefault="007A26AB" w:rsidP="00A16F66">
      <w:pPr>
        <w:tabs>
          <w:tab w:val="left" w:pos="9923"/>
        </w:tabs>
        <w:spacing w:line="240" w:lineRule="auto"/>
        <w:ind w:right="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0626">
        <w:rPr>
          <w:rFonts w:ascii="Times New Roman" w:hAnsi="Times New Roman" w:cs="Times New Roman"/>
          <w:sz w:val="28"/>
          <w:szCs w:val="28"/>
        </w:rPr>
        <w:t>. Рекомендовать филиалу «Сургутская ГРЭС-2» ПАО «</w:t>
      </w:r>
      <w:proofErr w:type="spellStart"/>
      <w:r w:rsidRPr="00AF0626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AF0626">
        <w:rPr>
          <w:rFonts w:ascii="Times New Roman" w:hAnsi="Times New Roman" w:cs="Times New Roman"/>
          <w:sz w:val="28"/>
          <w:szCs w:val="28"/>
        </w:rPr>
        <w:t>»</w:t>
      </w:r>
      <w:r w:rsidR="00C52487" w:rsidRPr="00AF0626">
        <w:rPr>
          <w:rFonts w:ascii="Times New Roman" w:hAnsi="Times New Roman" w:cs="Times New Roman"/>
          <w:sz w:val="28"/>
          <w:szCs w:val="28"/>
        </w:rPr>
        <w:t xml:space="preserve"> определить в качестве источника финансирования мероприятий по реконструкции обвязки пиковых бойлеров</w:t>
      </w:r>
      <w:r w:rsidR="00C52487" w:rsidRPr="00AF0626">
        <w:rPr>
          <w:rFonts w:ascii="Times New Roman" w:hAnsi="Times New Roman" w:cs="Times New Roman"/>
        </w:rPr>
        <w:t xml:space="preserve"> </w:t>
      </w:r>
      <w:r w:rsidR="00C52487" w:rsidRPr="00AF0626">
        <w:rPr>
          <w:rFonts w:ascii="Times New Roman" w:hAnsi="Times New Roman" w:cs="Times New Roman"/>
          <w:sz w:val="28"/>
          <w:szCs w:val="28"/>
        </w:rPr>
        <w:t>плату за подключение к системе теплоснабжения, в том числе внести в кратчайшие сроки данные мероприятия в инвестиционную программу</w:t>
      </w:r>
      <w:r w:rsidR="00B43B87" w:rsidRPr="00AF0626">
        <w:rPr>
          <w:rFonts w:ascii="Times New Roman" w:hAnsi="Times New Roman" w:cs="Times New Roman"/>
          <w:sz w:val="28"/>
          <w:szCs w:val="28"/>
        </w:rPr>
        <w:t>, выполнить расчет платы за подключение и обратиться</w:t>
      </w:r>
      <w:r w:rsidR="00B43B87" w:rsidRPr="00AF0626">
        <w:rPr>
          <w:bCs/>
          <w:color w:val="2A2C32"/>
          <w:spacing w:val="3"/>
        </w:rPr>
        <w:t xml:space="preserve"> </w:t>
      </w:r>
      <w:r w:rsidR="00B43B87" w:rsidRPr="00AF0626">
        <w:rPr>
          <w:rFonts w:ascii="Times New Roman" w:hAnsi="Times New Roman" w:cs="Times New Roman"/>
          <w:bCs/>
          <w:sz w:val="28"/>
          <w:szCs w:val="28"/>
        </w:rPr>
        <w:t xml:space="preserve">за установлением платы </w:t>
      </w:r>
      <w:r w:rsidR="00A16F66" w:rsidRPr="00AF0626">
        <w:rPr>
          <w:rFonts w:ascii="Times New Roman" w:hAnsi="Times New Roman" w:cs="Times New Roman"/>
          <w:bCs/>
          <w:sz w:val="28"/>
          <w:szCs w:val="28"/>
        </w:rPr>
        <w:br/>
      </w:r>
      <w:r w:rsidR="00B43B87" w:rsidRPr="00AF0626">
        <w:rPr>
          <w:rFonts w:ascii="Times New Roman" w:hAnsi="Times New Roman" w:cs="Times New Roman"/>
          <w:bCs/>
          <w:sz w:val="28"/>
          <w:szCs w:val="28"/>
        </w:rPr>
        <w:t>за подключение к системам теплоснабжения</w:t>
      </w:r>
      <w:r w:rsidR="00C52487" w:rsidRPr="00AF06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2487" w:rsidRPr="00AF0626">
        <w:rPr>
          <w:rFonts w:ascii="Times New Roman" w:hAnsi="Times New Roman" w:cs="Times New Roman"/>
          <w:sz w:val="28"/>
          <w:szCs w:val="28"/>
        </w:rPr>
        <w:t>в</w:t>
      </w:r>
      <w:r w:rsidR="00B43B87" w:rsidRPr="00AF0626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Pr="00AF0626">
        <w:rPr>
          <w:rFonts w:ascii="Times New Roman" w:hAnsi="Times New Roman" w:cs="Times New Roman"/>
          <w:sz w:val="28"/>
          <w:szCs w:val="28"/>
        </w:rPr>
        <w:t>.</w:t>
      </w:r>
    </w:p>
    <w:p w:rsidR="007A26AB" w:rsidRPr="00B43B87" w:rsidRDefault="007A26AB" w:rsidP="00A16F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</w:t>
      </w:r>
      <w:r w:rsidR="00FF71F6"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AF0626" w:rsidRPr="00AF0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0CBD" w:rsidRPr="00EC6B03" w:rsidRDefault="007A26AB" w:rsidP="00A1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282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возражения ф</w:t>
      </w:r>
      <w:r w:rsidR="00280CBD" w:rsidRPr="00EC6B03">
        <w:rPr>
          <w:rFonts w:ascii="Times New Roman" w:hAnsi="Times New Roman" w:cs="Times New Roman"/>
          <w:sz w:val="28"/>
          <w:szCs w:val="28"/>
        </w:rPr>
        <w:t xml:space="preserve">илиала ПАО «ОГК-2» – Сургутская </w:t>
      </w:r>
      <w:r w:rsidR="00280CBD" w:rsidRPr="00EC6B03">
        <w:rPr>
          <w:rFonts w:ascii="Times New Roman" w:hAnsi="Times New Roman" w:cs="Times New Roman"/>
          <w:sz w:val="28"/>
          <w:szCs w:val="28"/>
        </w:rPr>
        <w:br/>
        <w:t>ГРЭС-1 против переключения нагрузок с системы теплоснабжения «СГРЭС-1 – ПКТС» на новую котельную № 4.</w:t>
      </w:r>
    </w:p>
    <w:p w:rsidR="00280CBD" w:rsidRPr="00EC6B03" w:rsidRDefault="007A26AB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Рекомендовать участникам рабочей группы направить в адрес 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ООО «Невская энергетика» замечания и предложения к предлагаемым в концепции сценарным вариантам развития системы теплоснабжения.</w:t>
      </w:r>
    </w:p>
    <w:p w:rsidR="00280CBD" w:rsidRPr="00EC6B03" w:rsidRDefault="00280CBD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17.04.2026.</w:t>
      </w:r>
    </w:p>
    <w:p w:rsidR="00280CBD" w:rsidRPr="00EC6B03" w:rsidRDefault="007A26AB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Принять к сведению информацию департамента городского хозяйства 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несогласовании ни одного из предложенных ООО «Невская энергетика» вариантов развития системы теплоснабжения», предусматривающих строительство новых источников тепловой энергии по восточной части города в зонах теплоснабжения «СГРЭС-2 – Промзона» и «СГРЭС-2 – ВЖР</w:t>
      </w:r>
      <w:r w:rsidR="00B228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моделирования аварийной ситуации, связанной с полным отключением станции СГРЭС-2, предусмотреть эвакуацию существующих абонентов во временные пункты размещения.</w:t>
      </w:r>
    </w:p>
    <w:p w:rsidR="00280CBD" w:rsidRPr="00EC6B03" w:rsidRDefault="007A26AB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Поручить ООО «Невская энергетика»</w:t>
      </w:r>
      <w:r w:rsidR="00B4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пересмотреть перспективные тепловые нагрузки и 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доработать схему теплоснабжения в западной части города по варианту развития системы теплоснабжения 1б (с учетом поступивших предложений). </w:t>
      </w:r>
      <w:r w:rsidR="00A1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восточной части города требуется предусмотреть развитие систем теплоснабжения с приоритетной загрузкой источника комбинированной выработки СГРЭС-2.</w:t>
      </w:r>
    </w:p>
    <w:p w:rsidR="00280CBD" w:rsidRPr="00EC6B03" w:rsidRDefault="00280CBD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30.04.2026.</w:t>
      </w:r>
    </w:p>
    <w:p w:rsidR="00280CBD" w:rsidRPr="00EC6B03" w:rsidRDefault="007A26AB" w:rsidP="00A16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Принять к сведению предложение департамента архитектуры </w:t>
      </w:r>
      <w:r w:rsidR="00280CBD" w:rsidRPr="00EC6B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градостроительства о необходимости внесения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 – Югры в части источников тепловой энергии в соответствии с утвержденной схемой теплоснабжения. </w:t>
      </w:r>
    </w:p>
    <w:p w:rsidR="007F0F0E" w:rsidRPr="00B2282D" w:rsidRDefault="007F0F0E" w:rsidP="00A16F66">
      <w:pPr>
        <w:spacing w:after="0"/>
        <w:rPr>
          <w:sz w:val="28"/>
          <w:szCs w:val="28"/>
        </w:rPr>
      </w:pPr>
    </w:p>
    <w:p w:rsidR="007F0F0E" w:rsidRPr="00B2282D" w:rsidRDefault="007F0F0E" w:rsidP="007F0F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834"/>
      </w:tblGrid>
      <w:tr w:rsidR="007F0F0E" w:rsidRPr="00281C8F" w:rsidTr="00074930">
        <w:trPr>
          <w:trHeight w:val="759"/>
        </w:trPr>
        <w:tc>
          <w:tcPr>
            <w:tcW w:w="3350" w:type="dxa"/>
          </w:tcPr>
          <w:p w:rsidR="007F0F0E" w:rsidRPr="0067556E" w:rsidRDefault="007F0F0E" w:rsidP="00B2282D">
            <w:pPr>
              <w:pStyle w:val="aa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B2282D">
              <w:rPr>
                <w:rFonts w:ascii="Times New Roman" w:hAnsi="Times New Roman"/>
                <w:sz w:val="28"/>
                <w:szCs w:val="28"/>
              </w:rPr>
              <w:t xml:space="preserve"> председателя рабочей группы</w:t>
            </w:r>
          </w:p>
        </w:tc>
        <w:tc>
          <w:tcPr>
            <w:tcW w:w="4111" w:type="dxa"/>
          </w:tcPr>
          <w:p w:rsidR="007F0F0E" w:rsidRPr="00281C8F" w:rsidRDefault="007F0F0E" w:rsidP="00BD1EA1">
            <w:pPr>
              <w:tabs>
                <w:tab w:val="left" w:pos="2660"/>
              </w:tabs>
              <w:contextualSpacing/>
              <w:jc w:val="both"/>
            </w:pPr>
          </w:p>
        </w:tc>
        <w:tc>
          <w:tcPr>
            <w:tcW w:w="2834" w:type="dxa"/>
          </w:tcPr>
          <w:p w:rsidR="007F0F0E" w:rsidRDefault="007F0F0E" w:rsidP="009E70D9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0E" w:rsidRPr="00E55DC0" w:rsidRDefault="009A46A8" w:rsidP="009E70D9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Недашковский</w:t>
            </w:r>
          </w:p>
        </w:tc>
      </w:tr>
      <w:tr w:rsidR="00074930" w:rsidRPr="00281C8F" w:rsidTr="00074930">
        <w:trPr>
          <w:trHeight w:val="759"/>
        </w:trPr>
        <w:tc>
          <w:tcPr>
            <w:tcW w:w="3350" w:type="dxa"/>
          </w:tcPr>
          <w:p w:rsidR="00074930" w:rsidRDefault="00074930" w:rsidP="00B2282D">
            <w:pPr>
              <w:pStyle w:val="aa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74930" w:rsidRPr="00281C8F" w:rsidRDefault="00074930" w:rsidP="00BD1EA1">
            <w:pPr>
              <w:tabs>
                <w:tab w:val="left" w:pos="2660"/>
              </w:tabs>
              <w:contextualSpacing/>
              <w:jc w:val="both"/>
            </w:pPr>
          </w:p>
        </w:tc>
        <w:tc>
          <w:tcPr>
            <w:tcW w:w="2834" w:type="dxa"/>
          </w:tcPr>
          <w:p w:rsidR="00074930" w:rsidRDefault="00074930" w:rsidP="009E70D9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30" w:rsidRPr="00281C8F" w:rsidTr="00074930">
        <w:trPr>
          <w:trHeight w:val="759"/>
        </w:trPr>
        <w:tc>
          <w:tcPr>
            <w:tcW w:w="3350" w:type="dxa"/>
          </w:tcPr>
          <w:p w:rsidR="00074930" w:rsidRDefault="00074930" w:rsidP="00B2282D">
            <w:pPr>
              <w:pStyle w:val="aa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4111" w:type="dxa"/>
          </w:tcPr>
          <w:p w:rsidR="00074930" w:rsidRPr="00281C8F" w:rsidRDefault="00074930" w:rsidP="00BD1EA1">
            <w:pPr>
              <w:tabs>
                <w:tab w:val="left" w:pos="2660"/>
              </w:tabs>
              <w:contextualSpacing/>
              <w:jc w:val="both"/>
            </w:pPr>
          </w:p>
        </w:tc>
        <w:tc>
          <w:tcPr>
            <w:tcW w:w="2834" w:type="dxa"/>
          </w:tcPr>
          <w:p w:rsidR="00074930" w:rsidRDefault="00074930" w:rsidP="009E70D9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930" w:rsidRDefault="00074930" w:rsidP="009E70D9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Тихонова</w:t>
            </w:r>
          </w:p>
        </w:tc>
      </w:tr>
    </w:tbl>
    <w:p w:rsidR="00B43B87" w:rsidRDefault="00B43B87" w:rsidP="007F0F0E">
      <w:pPr>
        <w:rPr>
          <w:rFonts w:ascii="Times New Roman" w:hAnsi="Times New Roman" w:cs="Times New Roman"/>
          <w:sz w:val="28"/>
          <w:szCs w:val="28"/>
        </w:rPr>
      </w:pPr>
    </w:p>
    <w:sectPr w:rsidR="00B43B87" w:rsidSect="000C114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239ED"/>
    <w:multiLevelType w:val="hybridMultilevel"/>
    <w:tmpl w:val="2320D68A"/>
    <w:lvl w:ilvl="0" w:tplc="59EE8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2A"/>
    <w:rsid w:val="00074930"/>
    <w:rsid w:val="000C114B"/>
    <w:rsid w:val="00271078"/>
    <w:rsid w:val="00280CBD"/>
    <w:rsid w:val="002B4427"/>
    <w:rsid w:val="003C6FB1"/>
    <w:rsid w:val="006A65AD"/>
    <w:rsid w:val="006A7CE1"/>
    <w:rsid w:val="0070012A"/>
    <w:rsid w:val="007019C9"/>
    <w:rsid w:val="007A26AB"/>
    <w:rsid w:val="007F0F0E"/>
    <w:rsid w:val="009A46A8"/>
    <w:rsid w:val="00A16F66"/>
    <w:rsid w:val="00A216DB"/>
    <w:rsid w:val="00AF0626"/>
    <w:rsid w:val="00B2282D"/>
    <w:rsid w:val="00B43B87"/>
    <w:rsid w:val="00BD1EA1"/>
    <w:rsid w:val="00C16275"/>
    <w:rsid w:val="00C52487"/>
    <w:rsid w:val="00FD0E7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93329"/>
  <w15:chartTrackingRefBased/>
  <w15:docId w15:val="{9CF194F0-0F42-4004-8E37-DB0E4ECF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F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7F0F0E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5">
    <w:name w:val="Title"/>
    <w:basedOn w:val="a"/>
    <w:next w:val="a6"/>
    <w:link w:val="a7"/>
    <w:qFormat/>
    <w:rsid w:val="007F0F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Заголовок Знак"/>
    <w:basedOn w:val="a0"/>
    <w:link w:val="a5"/>
    <w:rsid w:val="007F0F0E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uiPriority w:val="39"/>
    <w:rsid w:val="007F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9"/>
    <w:uiPriority w:val="11"/>
    <w:qFormat/>
    <w:rsid w:val="007F0F0E"/>
    <w:pPr>
      <w:numPr>
        <w:ilvl w:val="1"/>
      </w:num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9">
    <w:name w:val="Подзаголовок Знак"/>
    <w:basedOn w:val="a0"/>
    <w:link w:val="a6"/>
    <w:uiPriority w:val="11"/>
    <w:rsid w:val="007F0F0E"/>
    <w:rPr>
      <w:rFonts w:eastAsiaTheme="minorEastAsia"/>
      <w:color w:val="5A5A5A" w:themeColor="text1" w:themeTint="A5"/>
      <w:spacing w:val="15"/>
      <w:lang w:eastAsia="ar-SA"/>
    </w:rPr>
  </w:style>
  <w:style w:type="paragraph" w:styleId="aa">
    <w:name w:val="header"/>
    <w:basedOn w:val="a"/>
    <w:link w:val="ab"/>
    <w:rsid w:val="007F0F0E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7F0F0E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docdata">
    <w:name w:val="docdata"/>
    <w:aliases w:val="docy,v5,2867,bqiaagaaeyqcaaagiaiaaaoacgaabagkaaaaaaaaaaaaaaaaaaaaaaaaaaaaaaaaaaaaaaaaaaaaaaaaaaaaaaaaaaaaaaaaaaaaaaaaaaaaaaaaaaaaaaaaaaaaaaaaaaaaaaaaaaaaaaaaaaaaaaaaaaaaaaaaaaaaaaaaaaaaaaaaaaaaaaaaaaaaaaaaaaaaaaaaaaaaaaaaaaaaaaaaaaaaaaaaaaaaaaaa"/>
    <w:basedOn w:val="a"/>
    <w:rsid w:val="0028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Введение,3_Абзац списка,СПИСКИ,Галочки,Текст 2-й уровень,ПАРАГРАФ,Абзац списка11,ТАБЛИЦА"/>
    <w:basedOn w:val="a"/>
    <w:link w:val="ad"/>
    <w:uiPriority w:val="1"/>
    <w:qFormat/>
    <w:rsid w:val="00280CBD"/>
    <w:pPr>
      <w:ind w:left="720"/>
      <w:contextualSpacing/>
    </w:pPr>
  </w:style>
  <w:style w:type="character" w:customStyle="1" w:styleId="ad">
    <w:name w:val="Абзац списка Знак"/>
    <w:aliases w:val="Введение Знак,3_Абзац списка Знак,СПИСКИ Знак,Галочки Знак,Текст 2-й уровень Знак,ПАРАГРАФ Знак,Абзац списка11 Знак,ТАБЛИЦА Знак"/>
    <w:basedOn w:val="a0"/>
    <w:link w:val="ac"/>
    <w:uiPriority w:val="1"/>
    <w:rsid w:val="00280CBD"/>
  </w:style>
  <w:style w:type="paragraph" w:styleId="ae">
    <w:name w:val="Normal (Web)"/>
    <w:basedOn w:val="a"/>
    <w:uiPriority w:val="99"/>
    <w:semiHidden/>
    <w:unhideWhenUsed/>
    <w:rsid w:val="00C52487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B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B4427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B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Татьяна Васильевна</dc:creator>
  <cp:keywords/>
  <dc:description/>
  <cp:lastModifiedBy>Хуснутдинова Римма Рауфовна</cp:lastModifiedBy>
  <cp:revision>7</cp:revision>
  <cp:lastPrinted>2026-05-06T05:08:00Z</cp:lastPrinted>
  <dcterms:created xsi:type="dcterms:W3CDTF">2026-04-30T07:17:00Z</dcterms:created>
  <dcterms:modified xsi:type="dcterms:W3CDTF">2026-05-06T05:09:00Z</dcterms:modified>
</cp:coreProperties>
</file>